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ОТЧЕТ О НАУЧНОМ АНАЛИЗЕ ДАННЫХ</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1. Методология анализа</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 рамках данного исследования проведен анализ инвестиционного проекта на основе предоставленных исходных данных. Анализ выполнен в соответствии с международными академическими стандартами, в частности, с использованием принципов анализа решений в условиях риска (Decision Analysis under Risk).</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Основные методологические принципы:</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Анализ проводится исключительно на основе предоставленных данных. Любые предположения или экстраполяции, не следующие напрямую из данных, исключены.</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Для оценки предпочтительности вариантов используется метод ожидаемой денежной стоимости (Expected Monetary Value, EMV), который является стандартным подходом для сравнения альтернатив в условиях риска.</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Критерий принятия решения задан условием: проект считается приемлемым, если ожидаемый доход превышает 1.5 млн руб.</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Описательная статистика применяется для характеристики распределения доходов по различным продуктам.</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Построение графа решений (Decision Tree) или таблицы сравнения альтернатив является стандартной практикой для визуализации и расчета ожидаемых значений.</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Ограничения методологии:</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Данные представлены в неполном и неструктурированном виде. Отсутствуют ключевые показатели, такие как себестоимость производства, что делает невозможным расчет чистого дохода или прибыли. Вместо этого анализируется потенциальная выручка (доход от продаж).</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Вероятности, указанные в столбце "Вероятность, %", имеют неясную интерпретацию ("От продаж"). В анализе принята наиболее логичная с точки зрения теории вероятностей интерпретация: это вероятность успешной продажи всего произведенного объема каждого типа товара. Альтернативные интерпретации (например, вероятность продажи одной единицы) привели бы к иным расчетам, но не могут быть обоснованы имеющимися данными.</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Показатель "Ожидаемый" в столбце "Доход, млн. руб." является пустой ячейкой, что означает необходимость его расчета.</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2. Результаты анализа</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 первом этапе проведена обработка и структуризация исходных данных. Рассчитан потенциальный доход (выручка) по каждому виду продукции как произведение количества произведенных единиц на отпускную цену. Затем рассчитан ожидаемый доход (Expected Value) с учетом заданной вероятности.</w:t>
      </w:r>
    </w:p>
    <w:p/>
    <w:p>
      <w:pPr>
        <w:jc w:val="center"/>
      </w:pPr>
      <w:r>
        <w:rPr>
          <w:rFonts w:ascii="Times New Roman" w:hAnsi="Times New Roman" w:eastAsia="Times New Roman" w:cs="Times New Roman"/>
          <w:sz w:val="28"/>
          <w:szCs w:val="28"/>
          <w:b w:val="1"/>
          <w:bCs w:val="1"/>
        </w:rPr>
        <w:t xml:space="preserve">Таблица 1 - Структурированные и рассчитанные данные по проекту</w:t>
      </w:r>
    </w:p>
    <w:tbl>
      <w:tblGrid>
        <w:gridCol w:w="1559.0551181102362" w:type="dxa"/>
        <w:gridCol w:w="1559.0551181102362" w:type="dxa"/>
        <w:gridCol w:w="1559.0551181102362" w:type="dxa"/>
        <w:gridCol w:w="1559.0551181102362" w:type="dxa"/>
        <w:gridCol w:w="1559.0551181102362" w:type="dxa"/>
        <w:gridCol w:w="1559.0551181102362" w:type="dxa"/>
      </w:tblGrid>
      <w:tblPr>
        <w:tblW w:w="9354.330708661417" w:type="dxa"/>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b w:val="1"/>
                <w:bCs w:val="1"/>
              </w:rPr>
              <w:t xml:space="preserve">Наименование</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Произведено,</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Цена, тыс.</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Вероятность</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Потенциальный</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Ожидаемый доход,</w:t>
            </w:r>
          </w:p>
        </w:tc>
      </w:t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товара</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шт.</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руб.</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успеха, %</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доход, млн. руб.</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млн. руб. (EMV)</w:t>
            </w:r>
          </w:p>
        </w:tc>
      </w:t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К50-15</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600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2.0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18</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1.200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0.216</w:t>
            </w:r>
          </w:p>
        </w:tc>
      </w:t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К50-27</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450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1.8</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48</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0.810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0.389</w:t>
            </w:r>
          </w:p>
        </w:tc>
      </w:t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К50-77</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400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2.7</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77</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1.080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0.832</w:t>
            </w:r>
          </w:p>
        </w:tc>
      </w:tr>
      <w:tr>
        <w:trPr/>
        <w:tc>
          <w:tcPr>
            <w:tcW w:w="1559.0551181102362"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ИТОГО</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1450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3.090</w:t>
            </w:r>
          </w:p>
        </w:tc>
        <w:tc>
          <w:tcPr>
            <w:tcW w:w="1559.0551181102362"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1.437</w:t>
            </w:r>
          </w:p>
        </w:tc>
      </w:tr>
    </w:tbl>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Расчеты:</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Потенциальный доход (К50-15): 600 2000 руб. = 1 200 000 руб. = 1.200 млн руб.</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Ожидаемый доход EMV (К50-15): 1.200 млн руб. (18%/100) = 0.216 млн руб.</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ИТОГО по ожидаемому доходу: 0.216 + 0.389 + 0.832 = 1.437 млн руб.</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Далее проведен анализ описательной статистики для ключевых показателей.</w:t>
      </w:r>
    </w:p>
    <w:p/>
    <w:p>
      <w:pPr>
        <w:jc w:val="center"/>
      </w:pPr>
      <w:r>
        <w:rPr>
          <w:rFonts w:ascii="Times New Roman" w:hAnsi="Times New Roman" w:eastAsia="Times New Roman" w:cs="Times New Roman"/>
          <w:sz w:val="28"/>
          <w:szCs w:val="28"/>
          <w:b w:val="1"/>
          <w:bCs w:val="1"/>
        </w:rPr>
        <w:t xml:space="preserve">Таблица 2 - Описательная статистика по ожидаемому доходу (EMV) по продуктам</w:t>
      </w:r>
    </w:p>
    <w:tbl>
      <w:tblGrid>
        <w:gridCol w:w="4677.165354330708" w:type="dxa"/>
        <w:gridCol w:w="4677.165354330708" w:type="dxa"/>
      </w:tblGrid>
      <w:tblPr>
        <w:tblW w:w="9354.330708661417" w:type="dxa"/>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b w:val="1"/>
                <w:bCs w:val="1"/>
              </w:rPr>
              <w:t xml:space="preserve">Показатель</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b w:val="1"/>
                <w:bCs w:val="1"/>
              </w:rPr>
              <w:t xml:space="preserve">Значение (млн руб.)</w:t>
            </w:r>
          </w:p>
        </w:tc>
      </w:t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Среднее значение (Mean)</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0.479</w:t>
            </w:r>
          </w:p>
        </w:tc>
      </w:t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Медиана (Median)</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0.389</w:t>
            </w:r>
          </w:p>
        </w:tc>
      </w:t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Минимум (Min)</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0.216</w:t>
            </w:r>
          </w:p>
        </w:tc>
      </w:t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Максимум (Max)</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0.832</w:t>
            </w:r>
          </w:p>
        </w:tc>
      </w:tr>
      <w:tr>
        <w:trPr/>
        <w:tc>
          <w:tcPr>
            <w:tcW w:w="4677.165354330708" w:type="dxa"/>
            <w:vAlign w:val="top"/>
            <w:tcBorders>
              <w:top w:val="single" w:sz="6" w:color="000000"/>
              <w:left w:val="single" w:sz="6" w:color="000000"/>
              <w:right w:val="single" w:sz="6" w:color="000000"/>
              <w:bottom w:val="single" w:sz="6" w:color="000000"/>
            </w:tcBorders>
            <w:noWrap/>
          </w:tcPr>
          <w:p>
            <w:pPr>
              <w:jc w:val="left"/>
              <w:spacing w:before="0" w:after="0" w:line="240" w:lineRule="auto"/>
            </w:pPr>
            <w:r>
              <w:rPr>
                <w:rFonts w:ascii="Times New Roman" w:hAnsi="Times New Roman" w:eastAsia="Times New Roman" w:cs="Times New Roman"/>
                <w:sz w:val="24"/>
                <w:szCs w:val="24"/>
              </w:rPr>
              <w:t xml:space="preserve">Стандартное отклонение (Std Deviation)</w:t>
            </w:r>
          </w:p>
        </w:tc>
        <w:tc>
          <w:tcPr>
            <w:tcW w:w="4677.165354330708" w:type="dxa"/>
            <w:vAlign w:val="top"/>
            <w:tcBorders>
              <w:top w:val="single" w:sz="6" w:color="000000"/>
              <w:left w:val="single" w:sz="6" w:color="000000"/>
              <w:right w:val="single" w:sz="6" w:color="000000"/>
              <w:bottom w:val="single" w:sz="6" w:color="000000"/>
            </w:tcBorders>
            <w:noWrap/>
          </w:tcPr>
          <w:p>
            <w:pPr>
              <w:jc w:val="center"/>
              <w:spacing w:before="0" w:after="0" w:line="240" w:lineRule="auto"/>
            </w:pPr>
            <w:r>
              <w:rPr>
                <w:rFonts w:ascii="Times New Roman" w:hAnsi="Times New Roman" w:eastAsia="Times New Roman" w:cs="Times New Roman"/>
                <w:sz w:val="24"/>
                <w:szCs w:val="24"/>
              </w:rPr>
              <w:t xml:space="preserve">0.258</w:t>
            </w:r>
          </w:p>
        </w:tc>
      </w:tr>
    </w:tbl>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Примечание: Мода не рассчитывается, так как все значения уникальны.</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Для наглядности представлены доли ожидаемого дохода, вносимые каждым продуктом в общий ожидаемый доход проекта.</w:t>
      </w:r>
    </w:p>
    <w:p/>
    <w:p>
      <w:r>
        <w:drawing>
          <wp:inline>
            <wp:extent cx="5400000" cy="3600000"/>
            <wp:docPr id="8" name="Chart8"/>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spacing w:before="120"/>
      </w:pPr>
      <w:r>
        <w:rPr>
          <w:rFonts w:ascii="Times New Roman" w:hAnsi="Times New Roman" w:eastAsia="Times New Roman" w:cs="Times New Roman"/>
          <w:sz w:val="28"/>
          <w:szCs w:val="28"/>
          <w:i w:val="1"/>
          <w:iCs w:val="1"/>
        </w:rPr>
        <w:t xml:space="preserve">Рисунок 1 - Структура общего ожидаемого дохода проекта по видам продукции</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Сравнение вклада продуктов в потенциальный и ожидаемый доходы визуализировано на столбчатой диаграмме.</w:t>
      </w:r>
    </w:p>
    <w:p/>
    <w:p>
      <w:r>
        <w:drawing>
          <wp:inline>
            <wp:extent cx="5400000" cy="3600000"/>
            <wp:docPr id="9" name="Chart9"/>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spacing w:before="120"/>
      </w:pPr>
      <w:r>
        <w:rPr>
          <w:rFonts w:ascii="Times New Roman" w:hAnsi="Times New Roman" w:eastAsia="Times New Roman" w:cs="Times New Roman"/>
          <w:sz w:val="28"/>
          <w:szCs w:val="28"/>
          <w:i w:val="1"/>
          <w:iCs w:val="1"/>
        </w:rPr>
        <w:t xml:space="preserve">Рисунок 2 - Сравнение потенциального и ожидаемого дохода по продуктам</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3. Интерпретация результатов</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 основании проведенных расчетов можно сделать следующие фактические наблюдения: 1. Суммарный ожидаемый доход от запуска новой технологической линии для производства трех типов конденсаторов составляет 1.437 млн рублей. 2. Данное значение (1.437 млн руб.) меньше установленного руководством АО "Элеконд" критерия приемлемости проекта в 1.5 млн руб. Разница составляет 0.063 млн руб. (63 тыс. руб.). 3. Основной вклад в ожидаемый доход вносит продукт К50-77 (57.9% от общей суммы EMV), несмотря на то, что его потенциальный доход (1.080 млн руб.) ниже, чем у К50-15 (1.200 млн руб.). Это обусловлено значительно более высокой вероятностью успешных продаж (77% против 18%). 4. Продукт К50-15 имеет самый высокий потенциальный доход, но из-за крайне низкой вероятности (18%) его ожидаемый вклад минимален. 5. Стандартное отклонение ожидаемых доходов по продуктам (0.258 млн руб.) сопоставимо со средним значением (0.479 млн руб.), что указывает на значительный разброс вкладов отдельных продуктов в общий результат. Наибольший риск (в смысле неопределенности исхода) связан с продуктом К50-15, так как разрыв между потенциальным и ожидаемым доходом максимален.</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 контексте "графика сравнения альтернатив", упомянутого в задании, единственной явной альтернативой, следующей из данных, является сравнение варианта "Реализовать проект" с вариантом "Не реализовывать проект" (нулевая альтернатива с доходом 0). Ожидаемый доход проекта (1.437 млн руб.) положителен, что делает его предпочтительнее нулевой альтернативы. Однако он не преодолевает установленный внутренний порог (1.5 млн руб.).</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4. Выводы и рекомендации</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Основные выводы: 1. На основании строгого анализа предоставленных данных, ожидаемая денежная стоимость (EMV) инвестиционного проекта по запуску линии для производства конденсаторов К50-15, К50-27 и К50-77 составляет 1.437 млн рублей. 2. Данный результат НЕ СООТВЕТСТВУЕТ установленному предприятием критерию для положительного решения (превышение 1.5 млн руб.). С формальной точки зрения, проект не должен быть принят. 3. Наиболее предпочтительным (наимене рисковым и наиболее доходным) продуктом в рамках проекта является К50-77. Наимене предпочтительным — К50-15.</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Рекомендации, основанные исключительно на фактах: 1. Лицу, принимающему решение (ЛПР), следует отклонить данный проект в представленном виде, так как его ожидаемая доходность не достигает минимально требуемого уровня. 2. Если у предприятия есть возможность пересмотреть структуру производства (например, изменить объемы выпуска по продуктам) или улучшить условия продаж (повысить вероятности успеха или цены), анализ следует провести заново с новыми данными. Ключевым объектом для улучшения является продукт К50-15 из-за его аномально низкой вероятности продаж при высоком потенциале. 3. Для проведения полноценного инвестиционного анализа недостаточно предоставленных данных. Для принятия обоснованного решения необходимы данные о капитальных и операционных затратах, чтобы рассчитать чистый дисконтированный доход (NPV), внутреннюю норму доходности (IRR) и другие стандартные показатели эффективности инвестиций. Текущий анализ оценивает лишь ожидаемую выручку, но не прибыль.</w:t>
      </w:r>
    </w:p>
    <w:p>
      <w:pPr>
        <w:jc w:val="both"/>
        <w:ind w:left="0" w:right="0" w:firstLine="708.6614173228347" w:hanging="0"/>
        <w:spacing w:before="0" w:after="0" w:line="360" w:lineRule="auto"/>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Заключение: На основе предоставленного набора данных и примененных стандартных методов анализа в условиях риска, наиболее предпочтительным вариантом для ЛПР является отказ от реализации проекта в его текущей конфигурации, поскольку ключевой финансовый критерий предприятия не выполняется.</w:t>
      </w:r>
    </w:p>
    <w:sectPr>
      <w:footerReference w:type="default" r:id="rId7"/>
      <w:pgSz w:orient="portrait" w:w="11905.511811023622" w:h="16837.79527559055"/>
      <w:pgMar w:top="1133.8582677165352" w:right="850.3937007874015"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Times New Roman" w:hAnsi="Times New Roman" w:eastAsia="Times New Roman" w:cs="Times New Roman"/>
        <w:sz w:val="20"/>
        <w:szCs w:val="20"/>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 Id="rId8" Type="http://schemas.openxmlformats.org/officeDocument/2006/relationships/chart" Target="charts/chart1.xml"/><Relationship Id="rId9" Type="http://schemas.openxmlformats.org/officeDocument/2006/relationships/chart" Target="charts/chart2.xml"/></Relationships>
</file>

<file path=word/charts/chart1.xml><?xml version="1.0" encoding="utf-8"?>
<c:chartSpace xmlns:c="http://schemas.openxmlformats.org/drawingml/2006/chart" xmlns:a="http://schemas.openxmlformats.org/drawingml/2006/main" xmlns:r="http://schemas.openxmlformats.org/officeDocument/2006/relationships">
  <c:chart>
    <c:autoTitleDeleted val="1"/>
    <c:legend>
      <c:legendPos val="r"/>
    </c:legend>
    <c:plotArea>
      <c:layout/>
      <c:pieChart>
        <c:varyColors val="1"/>
        <c:ser>
          <c:idx val="0"/>
          <c:order val="0"/>
          <c:dLbls>
            <c:showVal val="1"/>
            <c:showCatName val="1"/>
            <c:showLegendKey val="0"/>
            <c:showSerName val="0"/>
            <c:showPercent val="0"/>
            <c:showLeaderLines val="0"/>
            <c:showBubbleSize val="0"/>
          </c:dLbls>
          <c:cat>
            <c:strLit>
              <c:ptCount val="3"/>
              <c:pt idx="0">
                <c:v>К50-15</c:v>
              </c:pt>
              <c:pt idx="1">
                <c:v>К50-27</c:v>
              </c:pt>
              <c:pt idx="2">
                <c:v>К50-77</c:v>
              </c:pt>
            </c:strLit>
          </c:cat>
          <c:val>
            <c:numLit>
              <c:ptCount val="3"/>
              <c:pt idx="0">
                <c:v>15</c:v>
              </c:pt>
              <c:pt idx="1">
                <c:v>27.1</c:v>
              </c:pt>
              <c:pt idx="2">
                <c:v>57.9</c:v>
              </c:pt>
            </c:numLit>
          </c:val>
        </c:ser>
        <c:overlap val="100"/>
      </c:pieChart>
    </c:plotArea>
  </c:chart>
  <c:spPr>
    <a:ln>
      <a:noFill/>
    </a:ln>
  </c:spPr>
</c:chartSpace>
</file>

<file path=word/charts/chart2.xml><?xml version="1.0" encoding="utf-8"?>
<c:chartSpace xmlns:c="http://schemas.openxmlformats.org/drawingml/2006/chart" xmlns:a="http://schemas.openxmlformats.org/drawingml/2006/main" xmlns:r="http://schemas.openxmlformats.org/officeDocument/2006/relationships">
  <c:chart>
    <c:autoTitleDeleted val="1"/>
    <c:legend>
      <c:legendPos val="r"/>
    </c:legend>
    <c:plotArea>
      <c:layout/>
      <c:barChart>
        <c:varyColors val="0"/>
        <c:barDir val="bar"/>
        <c:grouping val="clustered"/>
        <c:ser>
          <c:idx val="0"/>
          <c:order val="0"/>
          <c:dLbls>
            <c:showVal val="1"/>
            <c:showCatName val="1"/>
            <c:showLegendKey val="0"/>
            <c:showSerName val="0"/>
            <c:showPercent val="0"/>
            <c:showLeaderLines val="0"/>
            <c:showBubbleSize val="0"/>
          </c:dLbls>
          <c:cat>
            <c:strLit>
              <c:ptCount val="3"/>
              <c:pt idx="0">
                <c:v>К50-15</c:v>
              </c:pt>
              <c:pt idx="1">
                <c:v>К50-27</c:v>
              </c:pt>
              <c:pt idx="2">
                <c:v>К50-77</c:v>
              </c:pt>
            </c:strLit>
          </c:cat>
          <c:val>
            <c:numLit>
              <c:ptCount val="3"/>
              <c:pt idx="0">
                <c:v>1.2</c:v>
              </c:pt>
              <c:pt idx="1">
                <c:v>0.81</c:v>
              </c:pt>
              <c:pt idx="2">
                <c:v>1.08</c:v>
              </c:pt>
            </c:numLit>
          </c:val>
        </c:ser>
        <c:ser>
          <c:idx val="1"/>
          <c:order val="1"/>
          <c:tx>
            <c:strRef>
              <c:strCache>
                <c:ptCount val="1"/>
                <c:pt idx="0">
                  <c:v>Ожидаемый доход (EMV), млн руб.</c:v>
                </c:pt>
              </c:strCache>
            </c:strRef>
          </c:tx>
          <c:dLbls>
            <c:showVal val="1"/>
            <c:showCatName val="1"/>
            <c:showLegendKey val="0"/>
            <c:showSerName val="0"/>
            <c:showPercent val="0"/>
            <c:showLeaderLines val="0"/>
            <c:showBubbleSize val="0"/>
          </c:dLbls>
          <c:cat>
            <c:strLit>
              <c:ptCount val="3"/>
              <c:pt idx="0">
                <c:v>К50-15</c:v>
              </c:pt>
              <c:pt idx="1">
                <c:v>К50-27</c:v>
              </c:pt>
              <c:pt idx="2">
                <c:v>К50-77</c:v>
              </c:pt>
            </c:strLit>
          </c:cat>
          <c:val>
            <c:numLit>
              <c:ptCount val="3"/>
              <c:pt idx="0">
                <c:v>0.216</c:v>
              </c:pt>
              <c:pt idx="1">
                <c:v>0.389</c:v>
              </c:pt>
              <c:pt idx="2">
                <c:v>0.832</c:v>
              </c:pt>
            </c:numLit>
          </c:val>
        </c:ser>
        <c:axId val="1"/>
        <c:axId val="2"/>
      </c:barChart>
      <c:catAx>
        <c:axId val="1"/>
        <c:axPos val="b"/>
        <c:crossAx val="2"/>
        <c:auto val="1"/>
        <c:delete val="0"/>
        <c:majorTickMark val="none"/>
        <c:minorTickMark val="none"/>
        <c:tickLblPos val="nextTo"/>
        <c:crosses val="autoZero"/>
        <c:majorGridlines/>
        <c:scaling>
          <c:orientation val="minMax"/>
        </c:scaling>
        <c:spPr>
          <a:ln>
            <a:solidFill/>
          </a:ln>
        </c:spPr>
      </c:catAx>
      <c:valAx>
        <c:axId val="2"/>
        <c:axPos val="l"/>
        <c:crossAx val="1"/>
        <c:auto val="1"/>
        <c:delete val="0"/>
        <c:majorTickMark val="none"/>
        <c:minorTickMark val="none"/>
        <c:tickLblPos val="nextTo"/>
        <c:crosses val="autoZero"/>
        <c:majorGridlines/>
        <c:scaling>
          <c:orientation val="minMax"/>
        </c:scaling>
        <c:spPr>
          <a:ln>
            <a:solidFill/>
          </a:ln>
        </c:spPr>
      </c:valAx>
    </c:plotArea>
  </c:chart>
  <c:spPr>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2026-03-14T18:09:45+03:00</dcterms:created>
  <dcterms:modified xsi:type="dcterms:W3CDTF">2026-03-14T18:09:45+03:00</dcterms:modified>
</cp:coreProperties>
</file>

<file path=docProps/custom.xml><?xml version="1.0" encoding="utf-8"?>
<Properties xmlns="http://schemas.openxmlformats.org/officeDocument/2006/custom-properties" xmlns:vt="http://schemas.openxmlformats.org/officeDocument/2006/docPropsVTypes"/>
</file>